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475" w:rsidRPr="007A2FF8" w:rsidRDefault="00053475" w:rsidP="00053475">
      <w:pPr>
        <w:pStyle w:val="Virsraksts2"/>
        <w:numPr>
          <w:ilvl w:val="1"/>
          <w:numId w:val="1"/>
        </w:numPr>
        <w:jc w:val="center"/>
        <w:rPr>
          <w:rFonts w:ascii="Times New Roman" w:hAnsi="Times New Roman"/>
          <w:b/>
          <w:color w:val="auto"/>
          <w:sz w:val="28"/>
          <w:szCs w:val="28"/>
          <w:lang w:val="lv-LV" w:eastAsia="lv-LV"/>
        </w:rPr>
      </w:pPr>
      <w:bookmarkStart w:id="0" w:name="_Toc435186676"/>
      <w:bookmarkStart w:id="1" w:name="_Toc435186812"/>
      <w:bookmarkStart w:id="2" w:name="_Toc435354323"/>
      <w:bookmarkStart w:id="3" w:name="_Toc435354448"/>
      <w:bookmarkStart w:id="4" w:name="_Toc435354491"/>
      <w:bookmarkStart w:id="5" w:name="_Toc436219093"/>
      <w:r w:rsidRPr="007A2FF8">
        <w:rPr>
          <w:rFonts w:ascii="Times New Roman" w:hAnsi="Times New Roman"/>
          <w:b/>
          <w:color w:val="auto"/>
          <w:sz w:val="28"/>
          <w:szCs w:val="28"/>
          <w:lang w:val="lv-LV" w:eastAsia="lv-LV"/>
        </w:rPr>
        <w:t>Inovatīvo risinājumu identificēšana un atbilstības kritēriji to noteikšanai</w:t>
      </w:r>
      <w:bookmarkEnd w:id="0"/>
      <w:bookmarkEnd w:id="1"/>
      <w:bookmarkEnd w:id="2"/>
      <w:bookmarkEnd w:id="3"/>
      <w:bookmarkEnd w:id="4"/>
      <w:bookmarkEnd w:id="5"/>
    </w:p>
    <w:p w:rsidR="00053475" w:rsidRPr="007A2FF8" w:rsidRDefault="00053475" w:rsidP="004F366B">
      <w:pPr>
        <w:spacing w:after="0" w:line="240" w:lineRule="auto"/>
        <w:ind w:firstLine="360"/>
        <w:jc w:val="both"/>
        <w:rPr>
          <w:rFonts w:ascii="Times New Roman" w:hAnsi="Times New Roman"/>
          <w:sz w:val="24"/>
          <w:szCs w:val="24"/>
          <w:lang w:val="lv-LV"/>
        </w:rPr>
      </w:pPr>
      <w:r w:rsidRPr="007A2FF8">
        <w:rPr>
          <w:rFonts w:ascii="Times New Roman" w:hAnsi="Times New Roman"/>
          <w:sz w:val="24"/>
          <w:szCs w:val="24"/>
          <w:lang w:val="lv-LV"/>
        </w:rPr>
        <w:t xml:space="preserve">Inovatīvs risinājums ir </w:t>
      </w:r>
      <w:r w:rsidRPr="007A2FF8">
        <w:rPr>
          <w:rFonts w:ascii="Times New Roman" w:hAnsi="Times New Roman"/>
          <w:b/>
          <w:sz w:val="24"/>
          <w:szCs w:val="24"/>
          <w:lang w:val="lv-LV"/>
        </w:rPr>
        <w:t xml:space="preserve">būtisks </w:t>
      </w:r>
      <w:r w:rsidRPr="007A2FF8">
        <w:rPr>
          <w:rFonts w:ascii="Times New Roman" w:hAnsi="Times New Roman"/>
          <w:sz w:val="24"/>
          <w:szCs w:val="24"/>
          <w:lang w:val="lv-LV"/>
        </w:rPr>
        <w:t xml:space="preserve">jauninājums Kandavas Partnerības teritorijā. Inovācijas galarezultāts ir jauns produkts (prece vai pakalpojums) vai jauns tehnoloģiskais process, kas paaugstina produkta  kvalitāti. </w:t>
      </w:r>
    </w:p>
    <w:p w:rsidR="00053475" w:rsidRPr="007A2FF8" w:rsidRDefault="00053475" w:rsidP="004F366B">
      <w:pPr>
        <w:spacing w:after="0" w:line="240" w:lineRule="auto"/>
        <w:ind w:firstLine="360"/>
        <w:jc w:val="both"/>
        <w:rPr>
          <w:rFonts w:ascii="Times New Roman" w:hAnsi="Times New Roman"/>
          <w:i/>
          <w:sz w:val="24"/>
          <w:szCs w:val="24"/>
          <w:lang w:val="lv-LV" w:eastAsia="lv-LV"/>
        </w:rPr>
      </w:pPr>
      <w:r w:rsidRPr="007A2FF8">
        <w:rPr>
          <w:rFonts w:ascii="Times New Roman" w:hAnsi="Times New Roman"/>
          <w:i/>
          <w:sz w:val="24"/>
          <w:szCs w:val="24"/>
          <w:lang w:val="lv-LV" w:eastAsia="lv-LV"/>
        </w:rPr>
        <w:t>Definīcijas:</w:t>
      </w:r>
      <w:r w:rsidRPr="007A2FF8">
        <w:rPr>
          <w:rFonts w:ascii="Times New Roman" w:hAnsi="Times New Roman"/>
          <w:i/>
          <w:sz w:val="24"/>
          <w:szCs w:val="24"/>
          <w:u w:val="single"/>
          <w:lang w:val="lv-LV" w:eastAsia="lv-LV"/>
        </w:rPr>
        <w:t xml:space="preserve"> Produkta inovācija.</w:t>
      </w:r>
      <w:r w:rsidRPr="007A2FF8">
        <w:rPr>
          <w:rFonts w:ascii="Times New Roman" w:hAnsi="Times New Roman"/>
          <w:i/>
          <w:sz w:val="24"/>
          <w:szCs w:val="24"/>
          <w:lang w:val="lv-LV" w:eastAsia="lv-LV"/>
        </w:rPr>
        <w:t xml:space="preserve"> Produkta inovācija ietver jaunas vai ievērojami uzlabotas preces vai pakalpojumus. Produkta inovācija nozīmē būtiskus uzlabojumus tehniskajā specifikācijā, dažādās komponentēs un materiālos, pastāvošajās programmatūrās, lietotājdraudzīgumu vai citas funkcionālās īpašības. </w:t>
      </w:r>
      <w:r w:rsidRPr="007A2FF8">
        <w:rPr>
          <w:rFonts w:ascii="Times New Roman" w:hAnsi="Times New Roman"/>
          <w:i/>
          <w:sz w:val="24"/>
          <w:szCs w:val="24"/>
          <w:u w:val="single"/>
          <w:lang w:val="lv-LV" w:eastAsia="lv-LV"/>
        </w:rPr>
        <w:t>Procesa inovācija.</w:t>
      </w:r>
      <w:r w:rsidRPr="007A2FF8">
        <w:rPr>
          <w:rFonts w:ascii="Times New Roman" w:hAnsi="Times New Roman"/>
          <w:i/>
          <w:sz w:val="24"/>
          <w:szCs w:val="24"/>
          <w:lang w:val="lv-LV" w:eastAsia="lv-LV"/>
        </w:rPr>
        <w:t xml:space="preserve"> Procesa inovācija ietver jaunas vai ievērojami uzlabotas ražošanas vai piegādes metodes. Procesa inovācija nozīmē būtiskas izmaiņas tehnoloģijās, iekārtās un/vai programmatūrā.</w:t>
      </w:r>
    </w:p>
    <w:p w:rsidR="00053475" w:rsidRPr="007A2FF8" w:rsidRDefault="00053475" w:rsidP="004F366B">
      <w:pPr>
        <w:spacing w:after="0" w:line="240" w:lineRule="auto"/>
        <w:ind w:firstLine="360"/>
        <w:jc w:val="both"/>
        <w:rPr>
          <w:rFonts w:ascii="Times New Roman" w:hAnsi="Times New Roman"/>
          <w:sz w:val="24"/>
          <w:szCs w:val="24"/>
          <w:lang w:val="lv-LV"/>
        </w:rPr>
      </w:pPr>
      <w:r w:rsidRPr="007A2FF8">
        <w:rPr>
          <w:rFonts w:ascii="Times New Roman" w:hAnsi="Times New Roman"/>
          <w:sz w:val="24"/>
          <w:szCs w:val="24"/>
          <w:lang w:val="lv-LV"/>
        </w:rPr>
        <w:t>Sabiedrības virzītas vietējās attīstības stratēģijas ietvaros tiek vērtēta produkta un/vai procesa inovācija 1.Rīcības “Atbalsts uzņēmējdarbības uzsākšanai un attīstībai” projektiem, kas projektu vērtēšanas procesā tiks identificēts pēc sekojošiem projektu vērtēšanas kritērijiem: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5811"/>
        <w:gridCol w:w="1447"/>
      </w:tblGrid>
      <w:tr w:rsidR="00053475" w:rsidRPr="007A2FF8" w:rsidTr="004F366B">
        <w:tc>
          <w:tcPr>
            <w:tcW w:w="675" w:type="dxa"/>
            <w:shd w:val="clear" w:color="auto" w:fill="FFFFFF" w:themeFill="background1"/>
          </w:tcPr>
          <w:p w:rsidR="00053475" w:rsidRPr="00053475" w:rsidRDefault="00053475" w:rsidP="000C6516">
            <w:pPr>
              <w:jc w:val="both"/>
              <w:rPr>
                <w:rFonts w:ascii="Times New Roman" w:hAnsi="Times New Roman"/>
                <w:color w:val="000000" w:themeColor="text1"/>
                <w:sz w:val="24"/>
                <w:szCs w:val="24"/>
                <w:lang w:val="lv-LV"/>
              </w:rPr>
            </w:pPr>
            <w:proofErr w:type="spellStart"/>
            <w:r w:rsidRPr="00053475">
              <w:rPr>
                <w:rFonts w:ascii="Times New Roman" w:hAnsi="Times New Roman"/>
                <w:color w:val="000000" w:themeColor="text1"/>
                <w:sz w:val="24"/>
                <w:szCs w:val="24"/>
                <w:lang w:val="lv-LV"/>
              </w:rPr>
              <w:t>Nr.p.k</w:t>
            </w:r>
            <w:proofErr w:type="spellEnd"/>
            <w:r w:rsidRPr="00053475">
              <w:rPr>
                <w:rFonts w:ascii="Times New Roman" w:hAnsi="Times New Roman"/>
                <w:color w:val="000000" w:themeColor="text1"/>
                <w:sz w:val="24"/>
                <w:szCs w:val="24"/>
                <w:lang w:val="lv-LV"/>
              </w:rPr>
              <w:t>.</w:t>
            </w:r>
          </w:p>
        </w:tc>
        <w:tc>
          <w:tcPr>
            <w:tcW w:w="1560" w:type="dxa"/>
            <w:shd w:val="clear" w:color="auto" w:fill="FFFFFF" w:themeFill="background1"/>
          </w:tcPr>
          <w:p w:rsidR="00053475" w:rsidRPr="00053475" w:rsidRDefault="00053475" w:rsidP="000C6516">
            <w:pPr>
              <w:jc w:val="both"/>
              <w:rPr>
                <w:rFonts w:ascii="Times New Roman" w:hAnsi="Times New Roman"/>
                <w:color w:val="000000" w:themeColor="text1"/>
                <w:sz w:val="24"/>
                <w:szCs w:val="24"/>
                <w:lang w:val="lv-LV"/>
              </w:rPr>
            </w:pPr>
            <w:r w:rsidRPr="00053475">
              <w:rPr>
                <w:rFonts w:ascii="Times New Roman" w:hAnsi="Times New Roman"/>
                <w:color w:val="000000" w:themeColor="text1"/>
                <w:sz w:val="24"/>
                <w:szCs w:val="24"/>
                <w:lang w:val="lv-LV"/>
              </w:rPr>
              <w:t>Kritērijs</w:t>
            </w:r>
          </w:p>
        </w:tc>
        <w:tc>
          <w:tcPr>
            <w:tcW w:w="5811" w:type="dxa"/>
            <w:shd w:val="clear" w:color="auto" w:fill="FFFFFF" w:themeFill="background1"/>
          </w:tcPr>
          <w:p w:rsidR="00053475" w:rsidRPr="00053475" w:rsidRDefault="00053475" w:rsidP="000C6516">
            <w:pPr>
              <w:rPr>
                <w:rFonts w:ascii="Times New Roman" w:hAnsi="Times New Roman"/>
                <w:color w:val="000000" w:themeColor="text1"/>
                <w:sz w:val="24"/>
                <w:szCs w:val="24"/>
                <w:lang w:val="lv-LV"/>
              </w:rPr>
            </w:pPr>
            <w:r w:rsidRPr="00053475">
              <w:rPr>
                <w:rFonts w:ascii="Times New Roman" w:hAnsi="Times New Roman"/>
                <w:color w:val="000000" w:themeColor="text1"/>
                <w:sz w:val="24"/>
                <w:szCs w:val="24"/>
                <w:lang w:val="lv-LV"/>
              </w:rPr>
              <w:t>Skaidrojums</w:t>
            </w:r>
          </w:p>
        </w:tc>
        <w:tc>
          <w:tcPr>
            <w:tcW w:w="1447" w:type="dxa"/>
            <w:shd w:val="clear" w:color="auto" w:fill="FFFFFF" w:themeFill="background1"/>
          </w:tcPr>
          <w:p w:rsidR="00053475" w:rsidRPr="00053475" w:rsidRDefault="00053475" w:rsidP="000C6516">
            <w:pPr>
              <w:spacing w:after="0"/>
              <w:rPr>
                <w:rFonts w:ascii="Times New Roman" w:hAnsi="Times New Roman"/>
                <w:color w:val="000000" w:themeColor="text1"/>
                <w:sz w:val="24"/>
                <w:szCs w:val="24"/>
                <w:lang w:val="lv-LV"/>
              </w:rPr>
            </w:pPr>
            <w:r w:rsidRPr="00053475">
              <w:rPr>
                <w:rFonts w:ascii="Times New Roman" w:hAnsi="Times New Roman"/>
                <w:color w:val="000000" w:themeColor="text1"/>
                <w:sz w:val="24"/>
                <w:szCs w:val="24"/>
                <w:lang w:val="lv-LV"/>
              </w:rPr>
              <w:t>Maksimālais</w:t>
            </w:r>
          </w:p>
          <w:p w:rsidR="00053475" w:rsidRPr="00053475" w:rsidRDefault="00053475" w:rsidP="000C6516">
            <w:pPr>
              <w:spacing w:after="0"/>
              <w:rPr>
                <w:rFonts w:ascii="Times New Roman" w:hAnsi="Times New Roman"/>
                <w:color w:val="000000" w:themeColor="text1"/>
                <w:sz w:val="24"/>
                <w:szCs w:val="24"/>
                <w:lang w:val="lv-LV"/>
              </w:rPr>
            </w:pPr>
            <w:r w:rsidRPr="00053475">
              <w:rPr>
                <w:rFonts w:ascii="Times New Roman" w:hAnsi="Times New Roman"/>
                <w:color w:val="000000" w:themeColor="text1"/>
                <w:sz w:val="24"/>
                <w:szCs w:val="24"/>
                <w:lang w:val="lv-LV"/>
              </w:rPr>
              <w:t>punktu skaits</w:t>
            </w:r>
          </w:p>
        </w:tc>
      </w:tr>
      <w:tr w:rsidR="00053475" w:rsidRPr="007A2FF8" w:rsidTr="004F366B">
        <w:tc>
          <w:tcPr>
            <w:tcW w:w="675"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1.</w:t>
            </w:r>
          </w:p>
        </w:tc>
        <w:tc>
          <w:tcPr>
            <w:tcW w:w="1560"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 xml:space="preserve">Inovatīvs projekta rezultāts </w:t>
            </w:r>
          </w:p>
        </w:tc>
        <w:tc>
          <w:tcPr>
            <w:tcW w:w="5811"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 xml:space="preserve">Projekta rezultātā ir radīts jauns produkts, jauns pakalpojums vai jauns tehnoloģiskais process.  Novitāte var būt pārņemta no citām Latvijas vai ārvalstu praksēm, veiksmīgi pielāgojot tos vietējā teritorijā. Ja projekta rezultāts ir inovatīvs pagastā/pilsētā – 1 punkts; Kandavas Partnerības  teritorijā -2 punkti, Latvijā -3 punkti. </w:t>
            </w:r>
          </w:p>
          <w:p w:rsidR="00053475" w:rsidRPr="007A2FF8" w:rsidRDefault="00053475" w:rsidP="000C6516">
            <w:pPr>
              <w:spacing w:after="0"/>
              <w:rPr>
                <w:rFonts w:ascii="Times New Roman" w:hAnsi="Times New Roman"/>
                <w:sz w:val="24"/>
                <w:szCs w:val="24"/>
                <w:lang w:val="lv-LV"/>
              </w:rPr>
            </w:pPr>
            <w:r w:rsidRPr="007A2FF8">
              <w:rPr>
                <w:rFonts w:ascii="Times New Roman" w:hAnsi="Times New Roman"/>
                <w:i/>
                <w:sz w:val="24"/>
                <w:szCs w:val="24"/>
                <w:lang w:val="lv-LV"/>
              </w:rPr>
              <w:t>Ja šajā kritērijā ir 0 punkti, tad projekta novitāte tālāk netiek vērtēta.</w:t>
            </w:r>
          </w:p>
        </w:tc>
        <w:tc>
          <w:tcPr>
            <w:tcW w:w="1447" w:type="dxa"/>
          </w:tcPr>
          <w:p w:rsidR="00053475" w:rsidRPr="007A2FF8" w:rsidRDefault="00053475" w:rsidP="000C6516">
            <w:pPr>
              <w:jc w:val="both"/>
              <w:rPr>
                <w:rFonts w:ascii="Times New Roman" w:hAnsi="Times New Roman"/>
                <w:sz w:val="24"/>
                <w:szCs w:val="24"/>
                <w:lang w:val="lv-LV"/>
              </w:rPr>
            </w:pPr>
            <w:r w:rsidRPr="007A2FF8">
              <w:rPr>
                <w:rFonts w:ascii="Times New Roman" w:hAnsi="Times New Roman"/>
                <w:sz w:val="24"/>
                <w:szCs w:val="24"/>
                <w:lang w:val="lv-LV"/>
              </w:rPr>
              <w:t>3</w:t>
            </w:r>
          </w:p>
        </w:tc>
      </w:tr>
      <w:tr w:rsidR="00053475" w:rsidRPr="007A2FF8" w:rsidTr="004F366B">
        <w:tc>
          <w:tcPr>
            <w:tcW w:w="675"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2.</w:t>
            </w:r>
          </w:p>
        </w:tc>
        <w:tc>
          <w:tcPr>
            <w:tcW w:w="1560"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Dažādu nozaru sadarbība</w:t>
            </w:r>
          </w:p>
          <w:p w:rsidR="00053475" w:rsidRPr="007A2FF8" w:rsidRDefault="00053475" w:rsidP="000C6516">
            <w:pPr>
              <w:spacing w:after="0"/>
              <w:rPr>
                <w:rFonts w:ascii="Times New Roman" w:hAnsi="Times New Roman"/>
                <w:sz w:val="24"/>
                <w:szCs w:val="24"/>
                <w:lang w:val="lv-LV"/>
              </w:rPr>
            </w:pPr>
          </w:p>
        </w:tc>
        <w:tc>
          <w:tcPr>
            <w:tcW w:w="5811" w:type="dxa"/>
          </w:tcPr>
          <w:p w:rsidR="00053475" w:rsidRPr="007A2FF8" w:rsidRDefault="00053475" w:rsidP="000C6516">
            <w:pPr>
              <w:spacing w:after="0"/>
              <w:jc w:val="both"/>
              <w:rPr>
                <w:rFonts w:ascii="Times New Roman" w:hAnsi="Times New Roman"/>
                <w:sz w:val="24"/>
                <w:szCs w:val="24"/>
                <w:lang w:val="lv-LV"/>
              </w:rPr>
            </w:pPr>
            <w:r w:rsidRPr="007A2FF8">
              <w:rPr>
                <w:rFonts w:ascii="Times New Roman" w:hAnsi="Times New Roman"/>
                <w:sz w:val="24"/>
                <w:szCs w:val="24"/>
                <w:lang w:val="lv-LV"/>
              </w:rPr>
              <w:t xml:space="preserve">Dažādu nozaru/jomu uzņēmumu sadarbība produkta un/vai procesa inovācijā.  Ja sadarbība ir viena pagasta/pilsētas ietvaros - 1 punkts; Kandavas Partnerības  teritorijā – 2 punkti. </w:t>
            </w:r>
          </w:p>
        </w:tc>
        <w:tc>
          <w:tcPr>
            <w:tcW w:w="1447" w:type="dxa"/>
          </w:tcPr>
          <w:p w:rsidR="00053475" w:rsidRPr="007A2FF8" w:rsidRDefault="00053475" w:rsidP="000C6516">
            <w:pPr>
              <w:jc w:val="both"/>
              <w:rPr>
                <w:rFonts w:ascii="Times New Roman" w:hAnsi="Times New Roman"/>
                <w:sz w:val="24"/>
                <w:szCs w:val="24"/>
                <w:lang w:val="lv-LV"/>
              </w:rPr>
            </w:pPr>
            <w:r w:rsidRPr="007A2FF8">
              <w:rPr>
                <w:rFonts w:ascii="Times New Roman" w:hAnsi="Times New Roman"/>
                <w:sz w:val="24"/>
                <w:szCs w:val="24"/>
                <w:lang w:val="lv-LV"/>
              </w:rPr>
              <w:t>2</w:t>
            </w:r>
          </w:p>
        </w:tc>
      </w:tr>
      <w:tr w:rsidR="00053475" w:rsidRPr="007A2FF8" w:rsidTr="004F366B">
        <w:tc>
          <w:tcPr>
            <w:tcW w:w="675"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3.</w:t>
            </w:r>
          </w:p>
        </w:tc>
        <w:tc>
          <w:tcPr>
            <w:tcW w:w="1560"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Sabiedriskā nozīme,</w:t>
            </w:r>
          </w:p>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idejas tālāka izmantošana</w:t>
            </w:r>
          </w:p>
        </w:tc>
        <w:tc>
          <w:tcPr>
            <w:tcW w:w="5811" w:type="dxa"/>
          </w:tcPr>
          <w:p w:rsidR="00053475" w:rsidRPr="007A2FF8" w:rsidRDefault="00053475" w:rsidP="000C6516">
            <w:pPr>
              <w:spacing w:after="0"/>
              <w:jc w:val="both"/>
              <w:rPr>
                <w:rFonts w:ascii="Times New Roman" w:hAnsi="Times New Roman"/>
                <w:sz w:val="24"/>
                <w:szCs w:val="24"/>
                <w:lang w:val="lv-LV"/>
              </w:rPr>
            </w:pPr>
            <w:r w:rsidRPr="007A2FF8">
              <w:rPr>
                <w:rFonts w:ascii="Times New Roman" w:hAnsi="Times New Roman"/>
                <w:sz w:val="24"/>
                <w:szCs w:val="24"/>
                <w:lang w:val="lv-LV"/>
              </w:rPr>
              <w:t xml:space="preserve"> Projekta īstenošana aktivizēs citus uzņēmējus un popularizēs Kandavas Partnerības darbības teritoriju.</w:t>
            </w:r>
          </w:p>
          <w:p w:rsidR="00053475" w:rsidRPr="007A2FF8" w:rsidRDefault="00053475" w:rsidP="000C6516">
            <w:pPr>
              <w:spacing w:after="0"/>
              <w:jc w:val="both"/>
              <w:rPr>
                <w:rFonts w:ascii="Times New Roman" w:hAnsi="Times New Roman"/>
                <w:sz w:val="24"/>
                <w:szCs w:val="24"/>
                <w:lang w:val="lv-LV"/>
              </w:rPr>
            </w:pPr>
            <w:r w:rsidRPr="007A2FF8">
              <w:rPr>
                <w:rFonts w:ascii="Times New Roman" w:hAnsi="Times New Roman"/>
                <w:sz w:val="24"/>
                <w:szCs w:val="24"/>
                <w:lang w:val="lv-LV"/>
              </w:rPr>
              <w:t>Ja izpildās  nosacījums, tad tiek saņemts 1 punkti, ja neizpildās– 0 punkti.</w:t>
            </w:r>
          </w:p>
        </w:tc>
        <w:tc>
          <w:tcPr>
            <w:tcW w:w="1447" w:type="dxa"/>
          </w:tcPr>
          <w:p w:rsidR="00053475" w:rsidRPr="007A2FF8" w:rsidRDefault="00053475" w:rsidP="000C6516">
            <w:pPr>
              <w:jc w:val="both"/>
              <w:rPr>
                <w:rFonts w:ascii="Times New Roman" w:hAnsi="Times New Roman"/>
                <w:sz w:val="24"/>
                <w:szCs w:val="24"/>
                <w:lang w:val="lv-LV"/>
              </w:rPr>
            </w:pPr>
            <w:r w:rsidRPr="007A2FF8">
              <w:rPr>
                <w:rFonts w:ascii="Times New Roman" w:hAnsi="Times New Roman"/>
                <w:sz w:val="24"/>
                <w:szCs w:val="24"/>
                <w:lang w:val="lv-LV"/>
              </w:rPr>
              <w:t>1</w:t>
            </w:r>
          </w:p>
        </w:tc>
        <w:bookmarkStart w:id="6" w:name="_GoBack"/>
        <w:bookmarkEnd w:id="6"/>
      </w:tr>
      <w:tr w:rsidR="00053475" w:rsidRPr="007A2FF8" w:rsidTr="004F366B">
        <w:tc>
          <w:tcPr>
            <w:tcW w:w="675"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4.</w:t>
            </w:r>
          </w:p>
        </w:tc>
        <w:tc>
          <w:tcPr>
            <w:tcW w:w="1560" w:type="dxa"/>
          </w:tcPr>
          <w:p w:rsidR="00053475" w:rsidRPr="007A2FF8" w:rsidRDefault="00053475" w:rsidP="000C6516">
            <w:pPr>
              <w:spacing w:after="0"/>
              <w:rPr>
                <w:rFonts w:ascii="Times New Roman" w:hAnsi="Times New Roman"/>
                <w:sz w:val="24"/>
                <w:szCs w:val="24"/>
                <w:lang w:val="lv-LV"/>
              </w:rPr>
            </w:pPr>
            <w:r w:rsidRPr="007A2FF8">
              <w:rPr>
                <w:rFonts w:ascii="Times New Roman" w:hAnsi="Times New Roman"/>
                <w:sz w:val="24"/>
                <w:szCs w:val="24"/>
                <w:lang w:val="lv-LV"/>
              </w:rPr>
              <w:t>Vietējo resursu (darbaspēks, izejvielas) izmantošana</w:t>
            </w:r>
          </w:p>
        </w:tc>
        <w:tc>
          <w:tcPr>
            <w:tcW w:w="5811" w:type="dxa"/>
          </w:tcPr>
          <w:p w:rsidR="00053475" w:rsidRPr="007A2FF8" w:rsidRDefault="00053475" w:rsidP="000C6516">
            <w:pPr>
              <w:spacing w:after="0"/>
              <w:jc w:val="both"/>
              <w:rPr>
                <w:rFonts w:ascii="Times New Roman" w:hAnsi="Times New Roman"/>
                <w:sz w:val="24"/>
                <w:szCs w:val="24"/>
                <w:lang w:val="lv-LV"/>
              </w:rPr>
            </w:pPr>
            <w:r w:rsidRPr="007A2FF8">
              <w:rPr>
                <w:rFonts w:ascii="Times New Roman" w:hAnsi="Times New Roman"/>
                <w:sz w:val="24"/>
                <w:szCs w:val="24"/>
                <w:lang w:val="lv-LV"/>
              </w:rPr>
              <w:t>Inovācijas sasniegšanai tiek izmantoti vietējie VRG resursi – 2 punkti.</w:t>
            </w:r>
          </w:p>
          <w:p w:rsidR="00053475" w:rsidRPr="007A2FF8" w:rsidRDefault="00053475" w:rsidP="000C6516">
            <w:pPr>
              <w:spacing w:after="0"/>
              <w:jc w:val="both"/>
              <w:rPr>
                <w:rFonts w:ascii="Times New Roman" w:hAnsi="Times New Roman"/>
                <w:sz w:val="24"/>
                <w:szCs w:val="24"/>
                <w:lang w:val="lv-LV"/>
              </w:rPr>
            </w:pPr>
            <w:r w:rsidRPr="007A2FF8">
              <w:rPr>
                <w:rFonts w:ascii="Times New Roman" w:hAnsi="Times New Roman"/>
                <w:sz w:val="24"/>
                <w:szCs w:val="24"/>
                <w:lang w:val="lv-LV"/>
              </w:rPr>
              <w:t>Inovācijas sasniegšanai tiek izmantoti vietējie Latvijas resursi – 1 punkts</w:t>
            </w:r>
          </w:p>
        </w:tc>
        <w:tc>
          <w:tcPr>
            <w:tcW w:w="1447" w:type="dxa"/>
          </w:tcPr>
          <w:p w:rsidR="00053475" w:rsidRPr="007A2FF8" w:rsidRDefault="00053475" w:rsidP="000C6516">
            <w:pPr>
              <w:jc w:val="both"/>
              <w:rPr>
                <w:rFonts w:ascii="Times New Roman" w:hAnsi="Times New Roman"/>
                <w:sz w:val="24"/>
                <w:szCs w:val="24"/>
                <w:lang w:val="lv-LV"/>
              </w:rPr>
            </w:pPr>
            <w:r w:rsidRPr="007A2FF8">
              <w:rPr>
                <w:rFonts w:ascii="Times New Roman" w:hAnsi="Times New Roman"/>
                <w:sz w:val="24"/>
                <w:szCs w:val="24"/>
                <w:lang w:val="lv-LV"/>
              </w:rPr>
              <w:t>2</w:t>
            </w:r>
          </w:p>
        </w:tc>
      </w:tr>
      <w:tr w:rsidR="00053475" w:rsidRPr="007A2FF8" w:rsidTr="004F366B">
        <w:tc>
          <w:tcPr>
            <w:tcW w:w="675" w:type="dxa"/>
          </w:tcPr>
          <w:p w:rsidR="00053475" w:rsidRPr="007A2FF8" w:rsidRDefault="00053475" w:rsidP="000C6516">
            <w:pPr>
              <w:spacing w:after="0"/>
              <w:rPr>
                <w:rFonts w:ascii="Times New Roman" w:hAnsi="Times New Roman"/>
                <w:sz w:val="24"/>
                <w:szCs w:val="24"/>
                <w:lang w:val="lv-LV"/>
              </w:rPr>
            </w:pPr>
          </w:p>
        </w:tc>
        <w:tc>
          <w:tcPr>
            <w:tcW w:w="1560" w:type="dxa"/>
          </w:tcPr>
          <w:p w:rsidR="00053475" w:rsidRPr="007A2FF8" w:rsidRDefault="00053475" w:rsidP="000C6516">
            <w:pPr>
              <w:spacing w:after="0"/>
              <w:rPr>
                <w:rFonts w:ascii="Times New Roman" w:hAnsi="Times New Roman"/>
                <w:sz w:val="24"/>
                <w:szCs w:val="24"/>
                <w:lang w:val="lv-LV"/>
              </w:rPr>
            </w:pPr>
          </w:p>
        </w:tc>
        <w:tc>
          <w:tcPr>
            <w:tcW w:w="5811" w:type="dxa"/>
          </w:tcPr>
          <w:p w:rsidR="00053475" w:rsidRPr="007A2FF8" w:rsidRDefault="00053475" w:rsidP="000C6516">
            <w:pPr>
              <w:spacing w:after="0"/>
              <w:jc w:val="right"/>
              <w:rPr>
                <w:rFonts w:ascii="Times New Roman" w:hAnsi="Times New Roman"/>
                <w:sz w:val="24"/>
                <w:szCs w:val="24"/>
                <w:lang w:val="lv-LV"/>
              </w:rPr>
            </w:pPr>
            <w:r w:rsidRPr="007A2FF8">
              <w:rPr>
                <w:rFonts w:ascii="Times New Roman" w:hAnsi="Times New Roman"/>
                <w:sz w:val="24"/>
                <w:szCs w:val="24"/>
                <w:lang w:val="lv-LV"/>
              </w:rPr>
              <w:t>Maksimālais iespējamais punktu skaits</w:t>
            </w:r>
          </w:p>
        </w:tc>
        <w:tc>
          <w:tcPr>
            <w:tcW w:w="1447" w:type="dxa"/>
          </w:tcPr>
          <w:p w:rsidR="00053475" w:rsidRPr="007A2FF8" w:rsidRDefault="00053475" w:rsidP="000C6516">
            <w:pPr>
              <w:jc w:val="both"/>
              <w:rPr>
                <w:rFonts w:ascii="Times New Roman" w:hAnsi="Times New Roman"/>
                <w:sz w:val="24"/>
                <w:szCs w:val="24"/>
                <w:lang w:val="lv-LV"/>
              </w:rPr>
            </w:pPr>
            <w:r w:rsidRPr="007A2FF8">
              <w:rPr>
                <w:rFonts w:ascii="Times New Roman" w:hAnsi="Times New Roman"/>
                <w:sz w:val="24"/>
                <w:szCs w:val="24"/>
                <w:lang w:val="lv-LV"/>
              </w:rPr>
              <w:t>8</w:t>
            </w:r>
          </w:p>
        </w:tc>
      </w:tr>
    </w:tbl>
    <w:p w:rsidR="00053475" w:rsidRPr="007A2FF8" w:rsidRDefault="00053475" w:rsidP="00053475">
      <w:pPr>
        <w:jc w:val="both"/>
        <w:rPr>
          <w:rFonts w:ascii="Times New Roman" w:hAnsi="Times New Roman"/>
          <w:sz w:val="24"/>
          <w:szCs w:val="24"/>
          <w:lang w:val="lv-LV"/>
        </w:rPr>
      </w:pPr>
      <w:r w:rsidRPr="007A2FF8">
        <w:rPr>
          <w:rFonts w:ascii="Times New Roman" w:hAnsi="Times New Roman"/>
          <w:sz w:val="24"/>
          <w:szCs w:val="24"/>
          <w:lang w:val="lv-LV"/>
        </w:rPr>
        <w:t xml:space="preserve">Projekts uzskatāms par inovatīvu, ja inovācijas vērtēšanas posmā ir ieguvis vismaz 4 punktus. </w:t>
      </w:r>
    </w:p>
    <w:p w:rsidR="00053475" w:rsidRDefault="00053475" w:rsidP="00053475">
      <w:pPr>
        <w:jc w:val="both"/>
        <w:rPr>
          <w:rFonts w:ascii="Times New Roman" w:eastAsia="Times New Roman" w:hAnsi="Times New Roman"/>
          <w:sz w:val="24"/>
          <w:szCs w:val="24"/>
          <w:lang w:val="lv-LV" w:eastAsia="lv-LV"/>
        </w:rPr>
      </w:pPr>
      <w:r w:rsidRPr="007A2FF8">
        <w:rPr>
          <w:rFonts w:ascii="Times New Roman" w:hAnsi="Times New Roman"/>
          <w:sz w:val="24"/>
          <w:szCs w:val="24"/>
          <w:lang w:val="lv-LV"/>
        </w:rPr>
        <w:t>Projektu vērtēšanas komisija ņem vērā šo tabulu, lai noskaidrotu, vai projekts ir inovatīvs, un, lai 1.</w:t>
      </w:r>
      <w:r w:rsidRPr="007A2FF8">
        <w:rPr>
          <w:rFonts w:ascii="Times New Roman" w:eastAsia="Times New Roman" w:hAnsi="Times New Roman"/>
          <w:sz w:val="24"/>
          <w:szCs w:val="24"/>
          <w:lang w:val="lv-LV" w:eastAsia="lv-LV"/>
        </w:rPr>
        <w:t>Rīcības vērtēšanas kritērijā</w:t>
      </w:r>
      <w:r w:rsidRPr="007A2FF8">
        <w:rPr>
          <w:rFonts w:ascii="Times New Roman" w:hAnsi="Times New Roman"/>
          <w:sz w:val="24"/>
          <w:szCs w:val="24"/>
          <w:lang w:val="lv-LV"/>
        </w:rPr>
        <w:t xml:space="preserve"> „</w:t>
      </w:r>
      <w:r w:rsidRPr="007A2FF8">
        <w:rPr>
          <w:rFonts w:ascii="Times New Roman" w:eastAsia="Times New Roman" w:hAnsi="Times New Roman"/>
          <w:sz w:val="24"/>
          <w:szCs w:val="24"/>
          <w:lang w:val="lv-LV" w:eastAsia="lv-LV"/>
        </w:rPr>
        <w:t>Projekta rezultāts ir inovatīvs” varētu ielikt attiecīgu vērtējumu: 1 punkti – „ir inovatīvs” vai 0 punkti- „nav inovatīvs”.</w:t>
      </w:r>
    </w:p>
    <w:p w:rsidR="006D3A35" w:rsidRDefault="006D3A35" w:rsidP="00053475"/>
    <w:sectPr w:rsidR="006D3A35" w:rsidSect="004F366B">
      <w:headerReference w:type="default" r:id="rId7"/>
      <w:pgSz w:w="11906" w:h="16838"/>
      <w:pgMar w:top="851"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2F6" w:rsidRDefault="004C32F6" w:rsidP="004F366B">
      <w:pPr>
        <w:spacing w:after="0" w:line="240" w:lineRule="auto"/>
      </w:pPr>
      <w:r>
        <w:separator/>
      </w:r>
    </w:p>
  </w:endnote>
  <w:endnote w:type="continuationSeparator" w:id="0">
    <w:p w:rsidR="004C32F6" w:rsidRDefault="004C32F6" w:rsidP="004F3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2F6" w:rsidRDefault="004C32F6" w:rsidP="004F366B">
      <w:pPr>
        <w:spacing w:after="0" w:line="240" w:lineRule="auto"/>
      </w:pPr>
      <w:r>
        <w:separator/>
      </w:r>
    </w:p>
  </w:footnote>
  <w:footnote w:type="continuationSeparator" w:id="0">
    <w:p w:rsidR="004C32F6" w:rsidRDefault="004C32F6" w:rsidP="004F3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66B" w:rsidRDefault="004F366B" w:rsidP="004F366B">
    <w:pPr>
      <w:pStyle w:val="Galvene"/>
      <w:jc w:val="right"/>
      <w:rPr>
        <w:i/>
      </w:rPr>
    </w:pPr>
    <w:proofErr w:type="spellStart"/>
    <w:r w:rsidRPr="004F366B">
      <w:rPr>
        <w:i/>
      </w:rPr>
      <w:t>Kandavas</w:t>
    </w:r>
    <w:proofErr w:type="spellEnd"/>
    <w:r w:rsidRPr="004F366B">
      <w:rPr>
        <w:i/>
      </w:rPr>
      <w:t xml:space="preserve"> </w:t>
    </w:r>
    <w:proofErr w:type="spellStart"/>
    <w:r w:rsidRPr="004F366B">
      <w:rPr>
        <w:i/>
      </w:rPr>
      <w:t>Partnerības</w:t>
    </w:r>
    <w:proofErr w:type="spellEnd"/>
    <w:r w:rsidRPr="004F366B">
      <w:rPr>
        <w:i/>
      </w:rPr>
      <w:t xml:space="preserve"> </w:t>
    </w:r>
    <w:proofErr w:type="spellStart"/>
    <w:r w:rsidRPr="004F366B">
      <w:rPr>
        <w:i/>
      </w:rPr>
      <w:t>attīstības</w:t>
    </w:r>
    <w:proofErr w:type="spellEnd"/>
    <w:r w:rsidRPr="004F366B">
      <w:rPr>
        <w:i/>
      </w:rPr>
      <w:t xml:space="preserve"> </w:t>
    </w:r>
    <w:proofErr w:type="spellStart"/>
    <w:r w:rsidRPr="004F366B">
      <w:rPr>
        <w:i/>
      </w:rPr>
      <w:t>stratēģija</w:t>
    </w:r>
    <w:proofErr w:type="spellEnd"/>
    <w:r>
      <w:rPr>
        <w:i/>
      </w:rPr>
      <w:t xml:space="preserve"> 2016.-2020.g.</w:t>
    </w:r>
  </w:p>
  <w:p w:rsidR="004F366B" w:rsidRPr="004F366B" w:rsidRDefault="004F366B" w:rsidP="004F366B">
    <w:pPr>
      <w:pStyle w:val="Galvene"/>
      <w:jc w:val="right"/>
      <w:rPr>
        <w:i/>
      </w:rPr>
    </w:pPr>
    <w:r w:rsidRPr="004F366B">
      <w:rPr>
        <w:i/>
      </w:rPr>
      <w:t>(SABIEDRĪBAS VIRZĪTA VIETĒJĀS ATTĪSTĪBAS STRATĒĢIJA)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015B44"/>
    <w:multiLevelType w:val="multilevel"/>
    <w:tmpl w:val="31365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75"/>
    <w:rsid w:val="00053475"/>
    <w:rsid w:val="001940A1"/>
    <w:rsid w:val="004C32F6"/>
    <w:rsid w:val="004F366B"/>
    <w:rsid w:val="006D3A35"/>
    <w:rsid w:val="00D010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714D9-C8F4-48B7-9166-57D7E9DF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3475"/>
    <w:rPr>
      <w:rFonts w:ascii="Calibri" w:eastAsia="Calibri" w:hAnsi="Calibri" w:cs="Times New Roman"/>
      <w:lang w:val="en-US"/>
    </w:rPr>
  </w:style>
  <w:style w:type="paragraph" w:styleId="Virsraksts2">
    <w:name w:val="heading 2"/>
    <w:basedOn w:val="Parasts"/>
    <w:next w:val="Parasts"/>
    <w:link w:val="Virsraksts2Rakstz"/>
    <w:uiPriority w:val="9"/>
    <w:qFormat/>
    <w:rsid w:val="00053475"/>
    <w:pPr>
      <w:keepNext/>
      <w:keepLines/>
      <w:spacing w:before="40" w:after="0"/>
      <w:outlineLvl w:val="1"/>
    </w:pPr>
    <w:rPr>
      <w:rFonts w:ascii="Calibri Light" w:eastAsia="MS Gothic" w:hAnsi="Calibri Light"/>
      <w:color w:val="2E74B5"/>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053475"/>
    <w:rPr>
      <w:rFonts w:ascii="Calibri Light" w:eastAsia="MS Gothic" w:hAnsi="Calibri Light" w:cs="Times New Roman"/>
      <w:color w:val="2E74B5"/>
      <w:sz w:val="26"/>
      <w:szCs w:val="26"/>
      <w:lang w:val="x-none" w:eastAsia="x-none"/>
    </w:rPr>
  </w:style>
  <w:style w:type="paragraph" w:styleId="Balonteksts">
    <w:name w:val="Balloon Text"/>
    <w:basedOn w:val="Parasts"/>
    <w:link w:val="BalontekstsRakstz"/>
    <w:uiPriority w:val="99"/>
    <w:semiHidden/>
    <w:unhideWhenUsed/>
    <w:rsid w:val="000534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53475"/>
    <w:rPr>
      <w:rFonts w:ascii="Segoe UI" w:eastAsia="Calibri" w:hAnsi="Segoe UI" w:cs="Segoe UI"/>
      <w:sz w:val="18"/>
      <w:szCs w:val="18"/>
      <w:lang w:val="en-US"/>
    </w:rPr>
  </w:style>
  <w:style w:type="paragraph" w:styleId="Galvene">
    <w:name w:val="header"/>
    <w:basedOn w:val="Parasts"/>
    <w:link w:val="GalveneRakstz"/>
    <w:uiPriority w:val="99"/>
    <w:unhideWhenUsed/>
    <w:rsid w:val="004F366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F366B"/>
    <w:rPr>
      <w:rFonts w:ascii="Calibri" w:eastAsia="Calibri" w:hAnsi="Calibri" w:cs="Times New Roman"/>
      <w:lang w:val="en-US"/>
    </w:rPr>
  </w:style>
  <w:style w:type="paragraph" w:styleId="Kjene">
    <w:name w:val="footer"/>
    <w:basedOn w:val="Parasts"/>
    <w:link w:val="KjeneRakstz"/>
    <w:uiPriority w:val="99"/>
    <w:unhideWhenUsed/>
    <w:rsid w:val="004F366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F366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1672</Words>
  <Characters>954</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dc:creator>
  <cp:keywords/>
  <dc:description/>
  <cp:lastModifiedBy>Inta</cp:lastModifiedBy>
  <cp:revision>3</cp:revision>
  <cp:lastPrinted>2021-01-05T08:10:00Z</cp:lastPrinted>
  <dcterms:created xsi:type="dcterms:W3CDTF">2021-01-05T08:12:00Z</dcterms:created>
  <dcterms:modified xsi:type="dcterms:W3CDTF">2021-10-28T09:25:00Z</dcterms:modified>
</cp:coreProperties>
</file>